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5398" w14:textId="0C7C42CA" w:rsidR="00592B55" w:rsidRPr="00614296" w:rsidRDefault="00592B55" w:rsidP="00592B55">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w:t>
      </w:r>
      <w:r w:rsidR="004D4CA3">
        <w:rPr>
          <w:rFonts w:asciiTheme="minorHAnsi" w:eastAsiaTheme="minorEastAsia" w:hAnsiTheme="minorHAnsi" w:cstheme="minorHAnsi"/>
          <w:bCs/>
          <w:noProof w:val="0"/>
          <w:sz w:val="24"/>
          <w:szCs w:val="24"/>
          <w:lang w:eastAsia="zh-CN"/>
        </w:rPr>
        <w:t>5</w:t>
      </w:r>
      <w:r w:rsidRPr="00614296">
        <w:rPr>
          <w:rFonts w:asciiTheme="minorHAnsi" w:eastAsiaTheme="minorEastAsia" w:hAnsiTheme="minorHAnsi" w:cstheme="minorHAnsi"/>
          <w:bCs/>
          <w:noProof w:val="0"/>
          <w:sz w:val="24"/>
          <w:szCs w:val="24"/>
          <w:lang w:eastAsia="zh-CN"/>
        </w:rPr>
        <w:tab/>
        <w:t xml:space="preserve">                                      </w:t>
      </w:r>
      <w:r w:rsidR="006141E3" w:rsidRPr="006141E3">
        <w:rPr>
          <w:rFonts w:asciiTheme="minorHAnsi" w:eastAsiaTheme="minorEastAsia" w:hAnsiTheme="minorHAnsi" w:cstheme="minorHAnsi"/>
          <w:bCs/>
          <w:noProof w:val="0"/>
          <w:sz w:val="24"/>
          <w:szCs w:val="24"/>
          <w:lang w:eastAsia="zh-CN"/>
        </w:rPr>
        <w:t>R4-2506504</w:t>
      </w:r>
    </w:p>
    <w:p w14:paraId="129ADB51" w14:textId="3DAFA1F3" w:rsidR="00592B55" w:rsidRDefault="004D4CA3" w:rsidP="00592B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4D4CA3">
        <w:rPr>
          <w:rFonts w:asciiTheme="minorHAnsi" w:eastAsiaTheme="minorEastAsia" w:hAnsiTheme="minorHAnsi" w:cstheme="minorHAnsi"/>
          <w:bCs/>
          <w:noProof w:val="0"/>
          <w:sz w:val="24"/>
          <w:szCs w:val="24"/>
          <w:lang w:eastAsia="zh-CN"/>
        </w:rPr>
        <w:t>Malta, MT, May 19 – 23</w:t>
      </w:r>
      <w:r w:rsidR="00592B55" w:rsidRPr="00614296">
        <w:rPr>
          <w:rFonts w:asciiTheme="minorHAnsi" w:eastAsiaTheme="minorEastAsia" w:hAnsiTheme="minorHAnsi" w:cstheme="minorHAnsi"/>
          <w:bCs/>
          <w:noProof w:val="0"/>
          <w:sz w:val="24"/>
          <w:szCs w:val="24"/>
          <w:lang w:eastAsia="zh-CN"/>
        </w:rPr>
        <w:t xml:space="preserve">, 2025 </w:t>
      </w:r>
    </w:p>
    <w:p w14:paraId="597BC239" w14:textId="0A643EF9" w:rsidR="00430613" w:rsidRPr="00FD65B2"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2D68FA" w:rsidRPr="00D8362D">
        <w:rPr>
          <w:rFonts w:ascii="Calibri" w:hAnsi="Calibri"/>
          <w:sz w:val="24"/>
          <w:szCs w:val="24"/>
        </w:rPr>
        <w:t>7</w:t>
      </w:r>
      <w:r w:rsidR="00C53E53" w:rsidRPr="00D8362D">
        <w:rPr>
          <w:rFonts w:ascii="Calibri" w:hAnsi="Calibri"/>
          <w:sz w:val="24"/>
          <w:szCs w:val="24"/>
        </w:rPr>
        <w:t>.2</w:t>
      </w:r>
      <w:r w:rsidR="00D8362D" w:rsidRPr="00D8362D">
        <w:rPr>
          <w:rFonts w:ascii="Calibri" w:hAnsi="Calibri"/>
          <w:sz w:val="24"/>
          <w:szCs w:val="24"/>
        </w:rPr>
        <w:t>9</w:t>
      </w:r>
      <w:r w:rsidR="00C53E53" w:rsidRPr="00D8362D">
        <w:rPr>
          <w:rFonts w:ascii="Calibri" w:hAnsi="Calibri"/>
          <w:sz w:val="24"/>
          <w:szCs w:val="24"/>
        </w:rPr>
        <w:t>.</w:t>
      </w:r>
      <w:r w:rsidR="004D6D93">
        <w:rPr>
          <w:rFonts w:ascii="Calibri" w:hAnsi="Calibri"/>
          <w:sz w:val="24"/>
          <w:szCs w:val="24"/>
        </w:rPr>
        <w:t>4</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FF0105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4D6D93" w:rsidRPr="004D6D93">
        <w:rPr>
          <w:rFonts w:asciiTheme="minorHAnsi" w:eastAsiaTheme="minorEastAsia" w:hAnsiTheme="minorHAnsi" w:cstheme="minorHAnsi"/>
          <w:bCs/>
          <w:noProof w:val="0"/>
          <w:sz w:val="24"/>
          <w:szCs w:val="24"/>
          <w:lang w:eastAsia="zh-CN"/>
        </w:rPr>
        <w:t>RRM performance requirements for R19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af6"/>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af6"/>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Default="0021403C">
      <w:pPr>
        <w:pStyle w:val="af6"/>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36445811" w14:textId="007D7FCA" w:rsidR="00F81C05" w:rsidRPr="00F81C05" w:rsidRDefault="00F81C05" w:rsidP="00F81C05">
      <w:pPr>
        <w:rPr>
          <w:sz w:val="20"/>
          <w:szCs w:val="20"/>
          <w:lang w:val="en-GB"/>
        </w:rPr>
      </w:pPr>
      <w:r>
        <w:rPr>
          <w:sz w:val="20"/>
          <w:szCs w:val="20"/>
          <w:lang w:val="en-GB"/>
        </w:rPr>
        <w:t>In this contribution, we would like to discuss the RRM performance requirements to be defined.</w:t>
      </w:r>
    </w:p>
    <w:p w14:paraId="3645501D" w14:textId="46BCF762" w:rsidR="00480CF5" w:rsidRPr="00437809" w:rsidRDefault="00C51F3B" w:rsidP="00437809">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bookmarkStart w:id="1" w:name="_Hlk173932584"/>
      <w:bookmarkStart w:id="2" w:name="_Hlk178156363"/>
    </w:p>
    <w:p w14:paraId="2093CCED" w14:textId="1A311DB3" w:rsidR="00077089" w:rsidRPr="00E27949" w:rsidRDefault="00E27949" w:rsidP="00E27949">
      <w:pPr>
        <w:widowControl/>
        <w:overflowPunct w:val="0"/>
        <w:autoSpaceDE w:val="0"/>
        <w:autoSpaceDN w:val="0"/>
        <w:adjustRightInd w:val="0"/>
        <w:snapToGrid w:val="0"/>
        <w:spacing w:after="120"/>
        <w:jc w:val="left"/>
        <w:rPr>
          <w:sz w:val="20"/>
          <w:szCs w:val="20"/>
          <w:lang w:val="en-GB"/>
        </w:rPr>
      </w:pPr>
      <w:r>
        <w:rPr>
          <w:sz w:val="20"/>
          <w:szCs w:val="20"/>
          <w:lang w:val="en-GB"/>
        </w:rPr>
        <w:t xml:space="preserve">In RAN4#112bis, the following agreement was reached for CSI-RS L1-RSRP measurement on </w:t>
      </w:r>
      <w:proofErr w:type="spellStart"/>
      <w:r>
        <w:rPr>
          <w:sz w:val="20"/>
          <w:szCs w:val="20"/>
          <w:lang w:val="en-GB"/>
        </w:rPr>
        <w:t>neighbor</w:t>
      </w:r>
      <w:proofErr w:type="spellEnd"/>
      <w:r>
        <w:rPr>
          <w:sz w:val="20"/>
          <w:szCs w:val="20"/>
          <w:lang w:val="en-GB"/>
        </w:rPr>
        <w:t xml:space="preserve"> cell (</w:t>
      </w:r>
      <w:r w:rsidRPr="00E27949">
        <w:rPr>
          <w:sz w:val="20"/>
          <w:szCs w:val="20"/>
          <w:lang w:val="en-GB"/>
        </w:rPr>
        <w:t>R4-2416862</w:t>
      </w:r>
      <w:r>
        <w:rPr>
          <w:sz w:val="20"/>
          <w:szCs w:val="20"/>
          <w:lang w:val="en-GB"/>
        </w:rPr>
        <w:t>). Last meeting, RAN4 agreed</w:t>
      </w:r>
      <w:r w:rsidRPr="00E27949">
        <w:rPr>
          <w:sz w:val="20"/>
          <w:szCs w:val="20"/>
          <w:lang w:val="en-GB"/>
        </w:rPr>
        <w:t xml:space="preserve"> </w:t>
      </w:r>
      <w:r>
        <w:rPr>
          <w:sz w:val="20"/>
          <w:szCs w:val="20"/>
          <w:lang w:val="en-GB"/>
        </w:rPr>
        <w:t xml:space="preserve">not </w:t>
      </w:r>
      <w:r w:rsidRPr="00E27949">
        <w:rPr>
          <w:sz w:val="20"/>
          <w:szCs w:val="20"/>
          <w:lang w:val="en-GB"/>
        </w:rPr>
        <w:t xml:space="preserve">to define RAN4 requirements for L1 measurement with gap </w:t>
      </w:r>
      <w:r>
        <w:rPr>
          <w:sz w:val="20"/>
          <w:szCs w:val="20"/>
          <w:lang w:val="en-GB"/>
        </w:rPr>
        <w:t xml:space="preserve">or RTD&gt;CP case </w:t>
      </w:r>
      <w:r w:rsidRPr="00E27949">
        <w:rPr>
          <w:sz w:val="20"/>
          <w:szCs w:val="20"/>
          <w:lang w:val="en-GB"/>
        </w:rPr>
        <w:t xml:space="preserve">for CSI-RS based L1 measurement on </w:t>
      </w:r>
      <w:proofErr w:type="spellStart"/>
      <w:r w:rsidRPr="00E27949">
        <w:rPr>
          <w:sz w:val="20"/>
          <w:szCs w:val="20"/>
          <w:lang w:val="en-GB"/>
        </w:rPr>
        <w:t>neighbor</w:t>
      </w:r>
      <w:proofErr w:type="spellEnd"/>
      <w:r w:rsidRPr="00E27949">
        <w:rPr>
          <w:sz w:val="20"/>
          <w:szCs w:val="20"/>
          <w:lang w:val="en-GB"/>
        </w:rPr>
        <w:t xml:space="preserve"> cell.</w:t>
      </w:r>
      <w:r>
        <w:rPr>
          <w:sz w:val="20"/>
          <w:szCs w:val="20"/>
          <w:lang w:val="en-GB"/>
        </w:rPr>
        <w:t xml:space="preserve"> </w:t>
      </w:r>
    </w:p>
    <w:tbl>
      <w:tblPr>
        <w:tblStyle w:val="af8"/>
        <w:tblW w:w="0" w:type="auto"/>
        <w:tblLook w:val="04A0" w:firstRow="1" w:lastRow="0" w:firstColumn="1" w:lastColumn="0" w:noHBand="0" w:noVBand="1"/>
      </w:tblPr>
      <w:tblGrid>
        <w:gridCol w:w="9629"/>
      </w:tblGrid>
      <w:tr w:rsidR="00E27949" w14:paraId="6ABC2296" w14:textId="77777777" w:rsidTr="00E27949">
        <w:tc>
          <w:tcPr>
            <w:tcW w:w="9629" w:type="dxa"/>
          </w:tcPr>
          <w:p w14:paraId="77EFBC1F" w14:textId="77777777" w:rsidR="00E27949" w:rsidRPr="004C4D9D" w:rsidRDefault="00E27949" w:rsidP="00E27949">
            <w:pPr>
              <w:pStyle w:val="4"/>
              <w:ind w:left="0" w:firstLine="0"/>
              <w:rPr>
                <w:sz w:val="18"/>
                <w:szCs w:val="12"/>
                <w:lang w:val="en-US" w:eastAsia="zh-CN"/>
              </w:rPr>
            </w:pPr>
            <w:r w:rsidRPr="004C4D9D">
              <w:rPr>
                <w:sz w:val="18"/>
                <w:szCs w:val="14"/>
                <w:lang w:val="en-US"/>
              </w:rPr>
              <w:t xml:space="preserve">Issue 2-11: CSI-RS resource density and BW </w:t>
            </w:r>
          </w:p>
          <w:p w14:paraId="4310DA9C" w14:textId="77777777" w:rsidR="00E27949" w:rsidRPr="00E27949" w:rsidRDefault="00E27949" w:rsidP="00E27949">
            <w:pPr>
              <w:pStyle w:val="af6"/>
              <w:widowControl/>
              <w:numPr>
                <w:ilvl w:val="0"/>
                <w:numId w:val="22"/>
              </w:numPr>
              <w:overflowPunct w:val="0"/>
              <w:autoSpaceDE w:val="0"/>
              <w:autoSpaceDN w:val="0"/>
              <w:adjustRightInd w:val="0"/>
              <w:spacing w:after="120"/>
              <w:contextualSpacing w:val="0"/>
              <w:jc w:val="left"/>
              <w:rPr>
                <w:rFonts w:eastAsia="宋体"/>
                <w:color w:val="000000" w:themeColor="text1"/>
                <w:sz w:val="18"/>
                <w:szCs w:val="18"/>
                <w:u w:val="single"/>
              </w:rPr>
            </w:pPr>
            <w:r w:rsidRPr="00E27949">
              <w:rPr>
                <w:rFonts w:eastAsia="宋体"/>
                <w:color w:val="000000" w:themeColor="text1"/>
                <w:sz w:val="18"/>
                <w:szCs w:val="18"/>
                <w:u w:val="single"/>
              </w:rPr>
              <w:t>Agreements:</w:t>
            </w:r>
          </w:p>
          <w:p w14:paraId="416C1706" w14:textId="53DF8DEC" w:rsidR="00E27949" w:rsidRPr="00E27949" w:rsidRDefault="00E27949" w:rsidP="00E27949">
            <w:pPr>
              <w:pStyle w:val="af6"/>
              <w:widowControl/>
              <w:numPr>
                <w:ilvl w:val="1"/>
                <w:numId w:val="22"/>
              </w:numPr>
              <w:overflowPunct w:val="0"/>
              <w:autoSpaceDE w:val="0"/>
              <w:autoSpaceDN w:val="0"/>
              <w:adjustRightInd w:val="0"/>
              <w:spacing w:after="120"/>
              <w:contextualSpacing w:val="0"/>
              <w:jc w:val="left"/>
              <w:rPr>
                <w:rFonts w:eastAsia="宋体"/>
                <w:color w:val="000000" w:themeColor="text1"/>
              </w:rPr>
            </w:pPr>
            <w:r w:rsidRPr="00E27949">
              <w:rPr>
                <w:rFonts w:eastAsia="宋体"/>
                <w:color w:val="000000" w:themeColor="text1"/>
                <w:sz w:val="18"/>
                <w:szCs w:val="18"/>
              </w:rPr>
              <w:t xml:space="preserve">For CSI-RS based L1-RSRP measurement on neighbor cell, define the measurement period and accuracy requirements based on Density=3 with (≥) 48 PRBs.  </w:t>
            </w:r>
          </w:p>
        </w:tc>
      </w:tr>
    </w:tbl>
    <w:p w14:paraId="48AEB9EA" w14:textId="77777777" w:rsidR="00E27949" w:rsidRDefault="00E27949" w:rsidP="00E3566F">
      <w:pPr>
        <w:widowControl/>
        <w:overflowPunct w:val="0"/>
        <w:autoSpaceDE w:val="0"/>
        <w:autoSpaceDN w:val="0"/>
        <w:adjustRightInd w:val="0"/>
        <w:snapToGrid w:val="0"/>
        <w:spacing w:after="120"/>
        <w:jc w:val="left"/>
        <w:rPr>
          <w:sz w:val="20"/>
          <w:szCs w:val="20"/>
          <w:lang w:val="en-GB"/>
        </w:rPr>
      </w:pPr>
    </w:p>
    <w:p w14:paraId="5043CC66" w14:textId="187BBF61" w:rsidR="00E27949" w:rsidRDefault="00C86699" w:rsidP="00E3566F">
      <w:pPr>
        <w:widowControl/>
        <w:overflowPunct w:val="0"/>
        <w:autoSpaceDE w:val="0"/>
        <w:autoSpaceDN w:val="0"/>
        <w:adjustRightInd w:val="0"/>
        <w:snapToGrid w:val="0"/>
        <w:spacing w:after="120"/>
        <w:jc w:val="left"/>
        <w:rPr>
          <w:sz w:val="20"/>
          <w:szCs w:val="20"/>
          <w:lang w:val="en-GB"/>
        </w:rPr>
      </w:pPr>
      <w:r>
        <w:rPr>
          <w:sz w:val="20"/>
          <w:szCs w:val="20"/>
          <w:lang w:val="en-GB"/>
        </w:rPr>
        <w:t xml:space="preserve">Based on the above agreement, legacy CSI-RS L1-RSRP measurement requirements for serving cell are also applicable to </w:t>
      </w:r>
      <w:proofErr w:type="spellStart"/>
      <w:r>
        <w:rPr>
          <w:sz w:val="20"/>
          <w:szCs w:val="20"/>
          <w:lang w:val="en-GB"/>
        </w:rPr>
        <w:t>neighbor</w:t>
      </w:r>
      <w:proofErr w:type="spellEnd"/>
      <w:r>
        <w:rPr>
          <w:sz w:val="20"/>
          <w:szCs w:val="20"/>
          <w:lang w:val="en-GB"/>
        </w:rPr>
        <w:t xml:space="preserve"> cell.</w:t>
      </w:r>
    </w:p>
    <w:p w14:paraId="521938DC" w14:textId="2B3CC434" w:rsidR="00FD54BF" w:rsidRPr="00737D36" w:rsidRDefault="00C86699" w:rsidP="0050733F">
      <w:pPr>
        <w:spacing w:beforeLines="50" w:before="120" w:afterLines="50" w:after="120"/>
        <w:rPr>
          <w:rFonts w:cstheme="minorHAnsi"/>
          <w:b/>
          <w:sz w:val="20"/>
          <w:szCs w:val="20"/>
        </w:rPr>
      </w:pPr>
      <w:r>
        <w:rPr>
          <w:rFonts w:cstheme="minorHAnsi"/>
          <w:b/>
          <w:sz w:val="20"/>
          <w:szCs w:val="20"/>
          <w:lang w:val="en-GB"/>
        </w:rPr>
        <w:t>Proposal</w:t>
      </w:r>
      <w:r w:rsidR="0050733F" w:rsidRPr="00737D36">
        <w:rPr>
          <w:rFonts w:cstheme="minorHAnsi"/>
          <w:b/>
          <w:sz w:val="20"/>
          <w:szCs w:val="20"/>
          <w:lang w:val="en-GB"/>
        </w:rPr>
        <w:t xml:space="preserve"> 1</w:t>
      </w:r>
      <w:r w:rsidR="0050733F" w:rsidRPr="00737D36">
        <w:rPr>
          <w:rFonts w:cstheme="minorHAnsi"/>
          <w:b/>
          <w:sz w:val="20"/>
          <w:szCs w:val="20"/>
        </w:rPr>
        <w:t xml:space="preserve">: </w:t>
      </w:r>
      <w:r>
        <w:rPr>
          <w:rFonts w:cstheme="minorHAnsi"/>
          <w:b/>
          <w:sz w:val="20"/>
          <w:szCs w:val="20"/>
        </w:rPr>
        <w:t>F</w:t>
      </w:r>
      <w:r w:rsidRPr="00C86699">
        <w:rPr>
          <w:rFonts w:cstheme="minorHAnsi"/>
          <w:b/>
          <w:sz w:val="20"/>
          <w:szCs w:val="20"/>
        </w:rPr>
        <w:t>or CSI-RS L1-RSRP measurement on neighbor cell</w:t>
      </w:r>
      <w:r>
        <w:rPr>
          <w:rFonts w:cstheme="minorHAnsi"/>
          <w:b/>
          <w:sz w:val="20"/>
          <w:szCs w:val="20"/>
        </w:rPr>
        <w:t xml:space="preserve">, </w:t>
      </w:r>
      <w:r w:rsidRPr="00C86699">
        <w:rPr>
          <w:rFonts w:cstheme="minorHAnsi"/>
          <w:b/>
          <w:sz w:val="20"/>
          <w:szCs w:val="20"/>
        </w:rPr>
        <w:t xml:space="preserve">legacy CSI-RS L1-RSRP </w:t>
      </w:r>
      <w:r w:rsidR="006141E3">
        <w:rPr>
          <w:rFonts w:cstheme="minorHAnsi"/>
          <w:b/>
          <w:sz w:val="20"/>
          <w:szCs w:val="20"/>
        </w:rPr>
        <w:t xml:space="preserve">accuracy </w:t>
      </w:r>
      <w:r w:rsidRPr="00C86699">
        <w:rPr>
          <w:rFonts w:cstheme="minorHAnsi"/>
          <w:b/>
          <w:sz w:val="20"/>
          <w:szCs w:val="20"/>
        </w:rPr>
        <w:t>requirements for serving cell are also applicable</w:t>
      </w:r>
      <w:r>
        <w:rPr>
          <w:rFonts w:cstheme="minorHAnsi"/>
          <w:b/>
          <w:sz w:val="20"/>
          <w:szCs w:val="20"/>
        </w:rPr>
        <w:t>.</w:t>
      </w:r>
    </w:p>
    <w:bookmarkEnd w:id="0"/>
    <w:bookmarkEnd w:id="1"/>
    <w:bookmarkEnd w:id="2"/>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145DFAF2"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E710BA" w:rsidRPr="00153468">
        <w:rPr>
          <w:sz w:val="20"/>
          <w:szCs w:val="20"/>
        </w:rPr>
        <w:t>:</w:t>
      </w:r>
    </w:p>
    <w:p w14:paraId="7C9D822A" w14:textId="27F9A000" w:rsidR="00731E24" w:rsidRPr="00153468" w:rsidRDefault="00C86699" w:rsidP="00731E24">
      <w:pPr>
        <w:spacing w:beforeLines="50" w:before="120" w:afterLines="50" w:after="120"/>
        <w:rPr>
          <w:rFonts w:cstheme="minorHAnsi"/>
          <w:b/>
          <w:sz w:val="20"/>
          <w:szCs w:val="20"/>
        </w:rPr>
      </w:pPr>
      <w:r>
        <w:rPr>
          <w:rFonts w:cstheme="minorHAnsi"/>
          <w:b/>
          <w:sz w:val="20"/>
          <w:szCs w:val="20"/>
          <w:lang w:val="en-GB"/>
        </w:rPr>
        <w:t>Proposal</w:t>
      </w:r>
      <w:r w:rsidRPr="00737D36">
        <w:rPr>
          <w:rFonts w:cstheme="minorHAnsi"/>
          <w:b/>
          <w:sz w:val="20"/>
          <w:szCs w:val="20"/>
          <w:lang w:val="en-GB"/>
        </w:rPr>
        <w:t xml:space="preserve"> 1</w:t>
      </w:r>
      <w:r w:rsidRPr="00737D36">
        <w:rPr>
          <w:rFonts w:cstheme="minorHAnsi"/>
          <w:b/>
          <w:sz w:val="20"/>
          <w:szCs w:val="20"/>
        </w:rPr>
        <w:t xml:space="preserve">: </w:t>
      </w:r>
      <w:r>
        <w:rPr>
          <w:rFonts w:cstheme="minorHAnsi"/>
          <w:b/>
          <w:sz w:val="20"/>
          <w:szCs w:val="20"/>
        </w:rPr>
        <w:t>F</w:t>
      </w:r>
      <w:r w:rsidRPr="00C86699">
        <w:rPr>
          <w:rFonts w:cstheme="minorHAnsi"/>
          <w:b/>
          <w:sz w:val="20"/>
          <w:szCs w:val="20"/>
        </w:rPr>
        <w:t>or CSI-RS L1-RSRP measurement on neighbor cell</w:t>
      </w:r>
      <w:r>
        <w:rPr>
          <w:rFonts w:cstheme="minorHAnsi"/>
          <w:b/>
          <w:sz w:val="20"/>
          <w:szCs w:val="20"/>
        </w:rPr>
        <w:t xml:space="preserve">, </w:t>
      </w:r>
      <w:r w:rsidRPr="00C86699">
        <w:rPr>
          <w:rFonts w:cstheme="minorHAnsi"/>
          <w:b/>
          <w:sz w:val="20"/>
          <w:szCs w:val="20"/>
        </w:rPr>
        <w:t xml:space="preserve">legacy CSI-RS L1-RSRP </w:t>
      </w:r>
      <w:r w:rsidR="006141E3">
        <w:rPr>
          <w:rFonts w:cstheme="minorHAnsi"/>
          <w:b/>
          <w:sz w:val="20"/>
          <w:szCs w:val="20"/>
        </w:rPr>
        <w:t xml:space="preserve">accuracy </w:t>
      </w:r>
      <w:r w:rsidRPr="00C86699">
        <w:rPr>
          <w:rFonts w:cstheme="minorHAnsi"/>
          <w:b/>
          <w:sz w:val="20"/>
          <w:szCs w:val="20"/>
        </w:rPr>
        <w:t>requirements for serving cell are also applicable</w:t>
      </w:r>
      <w:r>
        <w:rPr>
          <w:rFonts w:cstheme="minorHAnsi"/>
          <w:b/>
          <w:sz w:val="20"/>
          <w:szCs w:val="20"/>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71FAC3A9" w:rsidR="002D68FA" w:rsidRPr="00C86699" w:rsidRDefault="00012E1F" w:rsidP="00C86699">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sectPr w:rsidR="002D68FA" w:rsidRPr="00C8669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B742" w14:textId="77777777" w:rsidR="009E39B8" w:rsidRDefault="009E39B8">
      <w:r>
        <w:separator/>
      </w:r>
    </w:p>
  </w:endnote>
  <w:endnote w:type="continuationSeparator" w:id="0">
    <w:p w14:paraId="4099C210" w14:textId="77777777" w:rsidR="009E39B8" w:rsidRDefault="009E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A248" w14:textId="77777777" w:rsidR="009E39B8" w:rsidRDefault="009E39B8">
      <w:r>
        <w:separator/>
      </w:r>
    </w:p>
  </w:footnote>
  <w:footnote w:type="continuationSeparator" w:id="0">
    <w:p w14:paraId="431D65D1" w14:textId="77777777" w:rsidR="009E39B8" w:rsidRDefault="009E3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3"/>
  </w:num>
  <w:num w:numId="2" w16cid:durableId="2066179577">
    <w:abstractNumId w:val="7"/>
  </w:num>
  <w:num w:numId="3" w16cid:durableId="1696270071">
    <w:abstractNumId w:val="1"/>
  </w:num>
  <w:num w:numId="4" w16cid:durableId="1988512168">
    <w:abstractNumId w:val="0"/>
  </w:num>
  <w:num w:numId="5" w16cid:durableId="1507675303">
    <w:abstractNumId w:val="9"/>
    <w:lvlOverride w:ilvl="0">
      <w:startOverride w:val="1"/>
    </w:lvlOverride>
  </w:num>
  <w:num w:numId="6" w16cid:durableId="1064258278">
    <w:abstractNumId w:val="14"/>
  </w:num>
  <w:num w:numId="7" w16cid:durableId="648172848">
    <w:abstractNumId w:val="10"/>
  </w:num>
  <w:num w:numId="8" w16cid:durableId="929192334">
    <w:abstractNumId w:val="11"/>
  </w:num>
  <w:num w:numId="9" w16cid:durableId="1661928400">
    <w:abstractNumId w:val="6"/>
  </w:num>
  <w:num w:numId="10" w16cid:durableId="913969805">
    <w:abstractNumId w:val="12"/>
  </w:num>
  <w:num w:numId="11" w16cid:durableId="1982029420">
    <w:abstractNumId w:val="8"/>
  </w:num>
  <w:num w:numId="12" w16cid:durableId="1000960844">
    <w:abstractNumId w:val="2"/>
  </w:num>
  <w:num w:numId="13" w16cid:durableId="1963994101">
    <w:abstractNumId w:val="5"/>
  </w:num>
  <w:num w:numId="14" w16cid:durableId="27264513">
    <w:abstractNumId w:val="16"/>
  </w:num>
  <w:num w:numId="15" w16cid:durableId="1352300169">
    <w:abstractNumId w:val="16"/>
  </w:num>
  <w:num w:numId="16" w16cid:durableId="476924443">
    <w:abstractNumId w:val="15"/>
  </w:num>
  <w:num w:numId="17" w16cid:durableId="1116212705">
    <w:abstractNumId w:val="3"/>
  </w:num>
  <w:num w:numId="18" w16cid:durableId="577010698">
    <w:abstractNumId w:val="4"/>
  </w:num>
  <w:num w:numId="19" w16cid:durableId="810755722">
    <w:abstractNumId w:val="11"/>
  </w:num>
  <w:num w:numId="20" w16cid:durableId="746850582">
    <w:abstractNumId w:val="16"/>
  </w:num>
  <w:num w:numId="21" w16cid:durableId="2062703887">
    <w:abstractNumId w:val="16"/>
  </w:num>
  <w:num w:numId="22" w16cid:durableId="74981725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41E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141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141E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10</cp:revision>
  <dcterms:created xsi:type="dcterms:W3CDTF">2025-04-29T00:21:00Z</dcterms:created>
  <dcterms:modified xsi:type="dcterms:W3CDTF">2025-05-09T08:15:00Z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